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AE" w:rsidRDefault="00860D4E" w:rsidP="00553ED8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Iniziativa in occasione della Commemorazione dei Defunti</w:t>
      </w:r>
      <w:r w:rsidR="008776A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2022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C635F5">
        <w:rPr>
          <w:rFonts w:eastAsia="Times New Roman" w:cstheme="minorHAnsi"/>
          <w:b/>
          <w:bCs/>
          <w:sz w:val="24"/>
          <w:szCs w:val="24"/>
          <w:lang w:eastAsia="it-IT"/>
        </w:rPr>
        <w:t>“</w:t>
      </w:r>
      <w:r w:rsidR="00553ED8" w:rsidRPr="00553ED8">
        <w:rPr>
          <w:rFonts w:eastAsia="Times New Roman" w:cstheme="minorHAnsi"/>
          <w:b/>
          <w:bCs/>
          <w:i/>
          <w:sz w:val="24"/>
          <w:szCs w:val="24"/>
          <w:lang w:eastAsia="it-IT"/>
        </w:rPr>
        <w:t>Il nostro patrimonio</w:t>
      </w:r>
      <w:r w:rsidR="008776AE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 2</w:t>
      </w:r>
      <w:r w:rsidR="00C635F5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” </w:t>
      </w:r>
    </w:p>
    <w:p w:rsidR="009A6DB2" w:rsidRDefault="00ED2EFD" w:rsidP="00611A8C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In questo periodo milioni di persone visiteranno i cimiteri italiani</w:t>
      </w:r>
      <w:r w:rsidR="00AE7233">
        <w:rPr>
          <w:rFonts w:eastAsia="Times New Roman" w:cstheme="minorHAnsi"/>
          <w:bCs/>
          <w:sz w:val="24"/>
          <w:szCs w:val="24"/>
          <w:lang w:eastAsia="it-IT"/>
        </w:rPr>
        <w:t>. P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er sensibilizzare l’opinione pubblica sullo straordinario valore culturale dei camposanti, </w:t>
      </w:r>
      <w:r w:rsidR="009A6DB2">
        <w:rPr>
          <w:rFonts w:eastAsia="Times New Roman" w:cstheme="minorHAnsi"/>
          <w:bCs/>
          <w:sz w:val="24"/>
          <w:szCs w:val="24"/>
          <w:lang w:eastAsia="it-IT"/>
        </w:rPr>
        <w:t xml:space="preserve">il Tavolo Tecnico di Utilitalia-SEFIT </w:t>
      </w:r>
      <w:r w:rsidR="008776AE">
        <w:rPr>
          <w:rFonts w:eastAsia="Times New Roman" w:cstheme="minorHAnsi"/>
          <w:bCs/>
          <w:sz w:val="24"/>
          <w:szCs w:val="24"/>
          <w:lang w:eastAsia="it-IT"/>
        </w:rPr>
        <w:t xml:space="preserve">per la valorizzazione storico-artistica e turistica dei cimiteri pubblici italiani, </w:t>
      </w:r>
      <w:r>
        <w:rPr>
          <w:rFonts w:eastAsia="Times New Roman" w:cstheme="minorHAnsi"/>
          <w:bCs/>
          <w:sz w:val="24"/>
          <w:szCs w:val="24"/>
          <w:lang w:eastAsia="it-IT"/>
        </w:rPr>
        <w:t>ha preparato</w:t>
      </w:r>
      <w:r w:rsidR="00D570E6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una nuova </w:t>
      </w:r>
      <w:r w:rsidR="009A6DB2">
        <w:rPr>
          <w:rFonts w:eastAsia="Times New Roman" w:cstheme="minorHAnsi"/>
          <w:bCs/>
          <w:sz w:val="24"/>
          <w:szCs w:val="24"/>
          <w:lang w:eastAsia="it-IT"/>
        </w:rPr>
        <w:t>clip video dal titolo “Il nostro patrimonio</w:t>
      </w:r>
      <w:r w:rsidR="008776AE">
        <w:rPr>
          <w:rFonts w:eastAsia="Times New Roman" w:cstheme="minorHAnsi"/>
          <w:bCs/>
          <w:sz w:val="24"/>
          <w:szCs w:val="24"/>
          <w:lang w:eastAsia="it-IT"/>
        </w:rPr>
        <w:t xml:space="preserve"> 2</w:t>
      </w:r>
      <w:r w:rsidR="009A6DB2">
        <w:rPr>
          <w:rFonts w:eastAsia="Times New Roman" w:cstheme="minorHAnsi"/>
          <w:bCs/>
          <w:sz w:val="24"/>
          <w:szCs w:val="24"/>
          <w:lang w:eastAsia="it-IT"/>
        </w:rPr>
        <w:t xml:space="preserve">”. </w:t>
      </w:r>
      <w:r w:rsidR="008776AE">
        <w:rPr>
          <w:rFonts w:eastAsia="Times New Roman" w:cstheme="minorHAnsi"/>
          <w:bCs/>
          <w:sz w:val="24"/>
          <w:szCs w:val="24"/>
          <w:lang w:eastAsia="it-IT"/>
        </w:rPr>
        <w:t>Gli</w:t>
      </w:r>
      <w:r w:rsidR="009A6DB2">
        <w:rPr>
          <w:rFonts w:eastAsia="Times New Roman" w:cstheme="minorHAnsi"/>
          <w:bCs/>
          <w:sz w:val="24"/>
          <w:szCs w:val="24"/>
          <w:lang w:eastAsia="it-IT"/>
        </w:rPr>
        <w:t xml:space="preserve"> scatti fotografici che si susseguono</w:t>
      </w:r>
      <w:r w:rsidR="008776AE">
        <w:rPr>
          <w:rFonts w:eastAsia="Times New Roman" w:cstheme="minorHAnsi"/>
          <w:bCs/>
          <w:sz w:val="24"/>
          <w:szCs w:val="24"/>
          <w:lang w:eastAsia="it-IT"/>
        </w:rPr>
        <w:t>,</w:t>
      </w:r>
      <w:r w:rsidR="00BA1E7A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trasportano in un’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>atmosfera intrisa di storia, di memorie ma anche di eleganza e bellezza. Guardando il video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 xml:space="preserve"> e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 fermando per pochi minuti la frenesia della vita quotidiana,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 xml:space="preserve">rimanendo attenti alle proprie sensazioni, 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>si potr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>à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 xml:space="preserve">notare che 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davanti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>al fascino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 di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 xml:space="preserve">splendide 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sculture e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 xml:space="preserve">silenziosi 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>paesaggi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>,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 xml:space="preserve">affiorano solo emozioni positive. </w:t>
      </w:r>
      <w:r w:rsidR="006D3073">
        <w:rPr>
          <w:rFonts w:eastAsia="Times New Roman" w:cstheme="minorHAnsi"/>
          <w:bCs/>
          <w:sz w:val="24"/>
          <w:szCs w:val="24"/>
          <w:lang w:eastAsia="it-IT"/>
        </w:rPr>
        <w:t xml:space="preserve">  </w:t>
      </w:r>
      <w:r w:rsidR="00124BA5">
        <w:rPr>
          <w:rFonts w:eastAsia="Times New Roman" w:cstheme="minorHAnsi"/>
          <w:bCs/>
          <w:sz w:val="24"/>
          <w:szCs w:val="24"/>
          <w:lang w:eastAsia="it-IT"/>
        </w:rPr>
        <w:t>Le città del silenzio e il patrimonio in esse custodit</w:t>
      </w:r>
      <w:r w:rsidR="00611A8C">
        <w:rPr>
          <w:rFonts w:eastAsia="Times New Roman" w:cstheme="minorHAnsi"/>
          <w:bCs/>
          <w:sz w:val="24"/>
          <w:szCs w:val="24"/>
          <w:lang w:eastAsia="it-IT"/>
        </w:rPr>
        <w:t xml:space="preserve">o è a disposizione di tutti </w:t>
      </w:r>
      <w:r w:rsidR="00AE7233">
        <w:rPr>
          <w:rFonts w:eastAsia="Times New Roman" w:cstheme="minorHAnsi"/>
          <w:bCs/>
          <w:sz w:val="24"/>
          <w:szCs w:val="24"/>
          <w:lang w:eastAsia="it-IT"/>
        </w:rPr>
        <w:t xml:space="preserve">sempre </w:t>
      </w:r>
      <w:r w:rsidR="00611A8C">
        <w:rPr>
          <w:rFonts w:eastAsia="Times New Roman" w:cstheme="minorHAnsi"/>
          <w:bCs/>
          <w:sz w:val="24"/>
          <w:szCs w:val="24"/>
          <w:lang w:eastAsia="it-IT"/>
        </w:rPr>
        <w:t>durante tutto l’anno</w:t>
      </w:r>
      <w:r w:rsidR="00AE7233">
        <w:rPr>
          <w:rFonts w:eastAsia="Times New Roman" w:cstheme="minorHAnsi"/>
          <w:bCs/>
          <w:sz w:val="24"/>
          <w:szCs w:val="24"/>
          <w:lang w:eastAsia="it-IT"/>
        </w:rPr>
        <w:t>.</w:t>
      </w:r>
    </w:p>
    <w:p w:rsidR="00EC27D9" w:rsidRDefault="00EC27D9" w:rsidP="00860D4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rebuchet MS"/>
          <w:color w:val="000000"/>
          <w:w w:val="95"/>
          <w:sz w:val="24"/>
          <w:szCs w:val="24"/>
          <w:lang w:eastAsia="it-IT"/>
        </w:rPr>
      </w:pPr>
    </w:p>
    <w:p w:rsidR="00E54E24" w:rsidRDefault="006F263C" w:rsidP="00E54E24">
      <w:pPr>
        <w:spacing w:after="0" w:line="283" w:lineRule="exact"/>
        <w:rPr>
          <w:rFonts w:ascii="Arial" w:eastAsia="Times New Roman" w:hAnsi="Arial" w:cs="Trebuchet MS"/>
          <w:color w:val="000000"/>
          <w:w w:val="95"/>
          <w:sz w:val="24"/>
          <w:szCs w:val="24"/>
          <w:lang w:eastAsia="it-IT"/>
        </w:rPr>
      </w:pPr>
      <w:hyperlink r:id="rId6" w:history="1">
        <w:r w:rsidR="003C4722" w:rsidRPr="006F263C">
          <w:rPr>
            <w:rStyle w:val="Collegamentoipertestuale"/>
            <w:rFonts w:ascii="Arial" w:eastAsia="Times New Roman" w:hAnsi="Arial" w:cs="Trebuchet MS"/>
            <w:w w:val="95"/>
            <w:sz w:val="24"/>
            <w:szCs w:val="24"/>
            <w:lang w:eastAsia="it-IT"/>
          </w:rPr>
          <w:t>Link</w:t>
        </w:r>
      </w:hyperlink>
      <w:r w:rsidR="003C4722">
        <w:rPr>
          <w:rFonts w:ascii="Arial" w:eastAsia="Times New Roman" w:hAnsi="Arial" w:cs="Trebuchet MS"/>
          <w:color w:val="000000"/>
          <w:w w:val="95"/>
          <w:sz w:val="24"/>
          <w:szCs w:val="24"/>
          <w:lang w:eastAsia="it-IT"/>
        </w:rPr>
        <w:t xml:space="preserve"> e </w:t>
      </w:r>
      <w:r w:rsidR="00553ED8" w:rsidRPr="00EC27D9">
        <w:rPr>
          <w:rFonts w:ascii="Arial" w:eastAsia="Times New Roman" w:hAnsi="Arial" w:cs="Trebuchet MS"/>
          <w:color w:val="000000"/>
          <w:w w:val="95"/>
          <w:sz w:val="24"/>
          <w:szCs w:val="24"/>
          <w:lang w:eastAsia="it-IT"/>
        </w:rPr>
        <w:t>QR code al video</w:t>
      </w:r>
    </w:p>
    <w:p w:rsidR="003C4722" w:rsidRPr="00EC27D9" w:rsidRDefault="006F263C" w:rsidP="00E54E24">
      <w:pPr>
        <w:spacing w:after="0" w:line="283" w:lineRule="exact"/>
        <w:rPr>
          <w:rFonts w:ascii="Arial" w:eastAsia="Times New Roman" w:hAnsi="Arial" w:cs="Trebuchet MS"/>
          <w:color w:val="000000"/>
          <w:w w:val="95"/>
          <w:sz w:val="24"/>
          <w:szCs w:val="24"/>
          <w:lang w:eastAsia="it-IT"/>
        </w:rPr>
      </w:pPr>
      <w:r>
        <w:rPr>
          <w:rFonts w:ascii="Arial" w:eastAsia="Times New Roman" w:hAnsi="Arial" w:cs="Trebuchet MS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18415</wp:posOffset>
            </wp:positionV>
            <wp:extent cx="1180465" cy="1189355"/>
            <wp:effectExtent l="19050" t="0" r="635" b="0"/>
            <wp:wrapNone/>
            <wp:docPr id="1" name="Immagine 0" descr="link_al_video_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_al_video_Def20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7D9" w:rsidRDefault="00EC27D9" w:rsidP="00E54E24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7D9" w:rsidRDefault="00EC27D9" w:rsidP="00E54E24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263C" w:rsidRDefault="006F263C" w:rsidP="00E54E24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263C" w:rsidRDefault="006F263C" w:rsidP="00E54E24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263C" w:rsidRPr="00E54E24" w:rsidRDefault="006F263C" w:rsidP="00E54E24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722" w:rsidRDefault="003C4722" w:rsidP="003C472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 xml:space="preserve">Per chi volesse descriverci l’emozione che ha provato guardando il video </w:t>
      </w:r>
      <w:r w:rsidR="003E5E46">
        <w:rPr>
          <w:rFonts w:eastAsia="Times New Roman" w:cstheme="minorHAnsi"/>
          <w:bCs/>
          <w:sz w:val="24"/>
          <w:szCs w:val="24"/>
          <w:lang w:eastAsia="it-IT"/>
        </w:rPr>
        <w:t xml:space="preserve">(dedicare 4/6 minuti circa) </w:t>
      </w:r>
      <w:r>
        <w:rPr>
          <w:rFonts w:eastAsia="Times New Roman" w:cstheme="minorHAnsi"/>
          <w:bCs/>
          <w:sz w:val="24"/>
          <w:szCs w:val="24"/>
          <w:lang w:eastAsia="it-IT"/>
        </w:rPr>
        <w:t>utilizz</w:t>
      </w:r>
      <w:r w:rsidR="008A78DE">
        <w:rPr>
          <w:rFonts w:eastAsia="Times New Roman" w:cstheme="minorHAnsi"/>
          <w:bCs/>
          <w:sz w:val="24"/>
          <w:szCs w:val="24"/>
          <w:lang w:eastAsia="it-IT"/>
        </w:rPr>
        <w:t>ando una singola parola</w:t>
      </w:r>
      <w:r w:rsidR="003E5E46">
        <w:rPr>
          <w:rFonts w:eastAsia="Times New Roman" w:cstheme="minorHAnsi"/>
          <w:bCs/>
          <w:sz w:val="24"/>
          <w:szCs w:val="24"/>
          <w:lang w:eastAsia="it-IT"/>
        </w:rPr>
        <w:t>,</w:t>
      </w:r>
      <w:r w:rsidR="008A78DE">
        <w:rPr>
          <w:rFonts w:eastAsia="Times New Roman" w:cstheme="minorHAnsi"/>
          <w:bCs/>
          <w:sz w:val="24"/>
          <w:szCs w:val="24"/>
          <w:lang w:eastAsia="it-IT"/>
        </w:rPr>
        <w:t xml:space="preserve"> potrà </w:t>
      </w:r>
      <w:r w:rsidR="003E5E46">
        <w:rPr>
          <w:rFonts w:eastAsia="Times New Roman" w:cstheme="minorHAnsi"/>
          <w:bCs/>
          <w:sz w:val="24"/>
          <w:szCs w:val="24"/>
          <w:lang w:eastAsia="it-IT"/>
        </w:rPr>
        <w:t>scriverla</w:t>
      </w:r>
      <w:r w:rsidR="008A78DE">
        <w:rPr>
          <w:rFonts w:eastAsia="Times New Roman" w:cstheme="minorHAnsi"/>
          <w:bCs/>
          <w:sz w:val="24"/>
          <w:szCs w:val="24"/>
          <w:lang w:eastAsia="it-IT"/>
        </w:rPr>
        <w:t xml:space="preserve"> al seguente </w:t>
      </w:r>
      <w:hyperlink r:id="rId8" w:history="1">
        <w:r w:rsidR="008A78DE" w:rsidRPr="008A78DE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link</w:t>
        </w:r>
      </w:hyperlink>
      <w:r w:rsidR="008A78DE">
        <w:rPr>
          <w:rFonts w:eastAsia="Times New Roman" w:cstheme="minorHAnsi"/>
          <w:bCs/>
          <w:sz w:val="24"/>
          <w:szCs w:val="24"/>
          <w:lang w:eastAsia="it-IT"/>
        </w:rPr>
        <w:t xml:space="preserve"> entro il 3 novembre.</w:t>
      </w:r>
    </w:p>
    <w:p w:rsidR="008A78DE" w:rsidRDefault="008A78DE" w:rsidP="003C472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it-IT"/>
        </w:rPr>
      </w:pPr>
      <w:hyperlink r:id="rId9" w:history="1">
        <w:r w:rsidRPr="008A78DE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https://forms.gle/tVmgQBx8VxnJTwWq8</w:t>
        </w:r>
      </w:hyperlink>
    </w:p>
    <w:p w:rsidR="009F125C" w:rsidRDefault="009F125C"/>
    <w:p w:rsidR="00EC27D9" w:rsidRDefault="00EC27D9"/>
    <w:p w:rsidR="00EC27D9" w:rsidRDefault="00EC27D9"/>
    <w:p w:rsidR="00671897" w:rsidRDefault="00671897"/>
    <w:p w:rsidR="00671897" w:rsidRPr="00EC27D9" w:rsidRDefault="0067189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lastRenderedPageBreak/>
        <w:drawing>
          <wp:inline distT="0" distB="0" distL="0" distR="0">
            <wp:extent cx="11430" cy="1143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11430" cy="1143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6120130" cy="3433160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897" w:rsidRPr="00EC27D9" w:rsidSect="006F263C">
      <w:headerReference w:type="default" r:id="rId12"/>
      <w:pgSz w:w="11906" w:h="16838"/>
      <w:pgMar w:top="110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01" w:rsidRDefault="00004C01" w:rsidP="001E6238">
      <w:pPr>
        <w:spacing w:after="0" w:line="240" w:lineRule="auto"/>
      </w:pPr>
      <w:r>
        <w:separator/>
      </w:r>
    </w:p>
  </w:endnote>
  <w:endnote w:type="continuationSeparator" w:id="1">
    <w:p w:rsidR="00004C01" w:rsidRDefault="00004C01" w:rsidP="001E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01" w:rsidRDefault="00004C01" w:rsidP="001E6238">
      <w:pPr>
        <w:spacing w:after="0" w:line="240" w:lineRule="auto"/>
      </w:pPr>
      <w:r>
        <w:separator/>
      </w:r>
    </w:p>
  </w:footnote>
  <w:footnote w:type="continuationSeparator" w:id="1">
    <w:p w:rsidR="00004C01" w:rsidRDefault="00004C01" w:rsidP="001E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38" w:rsidRDefault="001E6238">
    <w:pPr>
      <w:pStyle w:val="Intestazione"/>
    </w:pPr>
    <w:r w:rsidRPr="001E6238">
      <w:t>Tavolo Tecnico di Utilitalia SEFIT per la valorizzazione culturale dei cimiteri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E24"/>
    <w:rsid w:val="00004C01"/>
    <w:rsid w:val="0006495B"/>
    <w:rsid w:val="000C08F6"/>
    <w:rsid w:val="0010716D"/>
    <w:rsid w:val="00124BA5"/>
    <w:rsid w:val="001E6238"/>
    <w:rsid w:val="00232E81"/>
    <w:rsid w:val="0023504E"/>
    <w:rsid w:val="00273E04"/>
    <w:rsid w:val="00360A44"/>
    <w:rsid w:val="003740E8"/>
    <w:rsid w:val="00376281"/>
    <w:rsid w:val="003C4722"/>
    <w:rsid w:val="003E5E46"/>
    <w:rsid w:val="003E5F09"/>
    <w:rsid w:val="00553ED8"/>
    <w:rsid w:val="00557282"/>
    <w:rsid w:val="00611A8C"/>
    <w:rsid w:val="00671897"/>
    <w:rsid w:val="00685672"/>
    <w:rsid w:val="006D3073"/>
    <w:rsid w:val="006F263C"/>
    <w:rsid w:val="007E3366"/>
    <w:rsid w:val="00860D4E"/>
    <w:rsid w:val="008776AE"/>
    <w:rsid w:val="008A78DE"/>
    <w:rsid w:val="00936243"/>
    <w:rsid w:val="00940BEF"/>
    <w:rsid w:val="00941611"/>
    <w:rsid w:val="009704CC"/>
    <w:rsid w:val="009A6DB2"/>
    <w:rsid w:val="009F125C"/>
    <w:rsid w:val="00A4435A"/>
    <w:rsid w:val="00A46BF4"/>
    <w:rsid w:val="00AE7233"/>
    <w:rsid w:val="00B0247D"/>
    <w:rsid w:val="00B36EEF"/>
    <w:rsid w:val="00BA1E7A"/>
    <w:rsid w:val="00C635F5"/>
    <w:rsid w:val="00CA69B3"/>
    <w:rsid w:val="00D570E6"/>
    <w:rsid w:val="00E54E24"/>
    <w:rsid w:val="00EB6D5A"/>
    <w:rsid w:val="00EC27D9"/>
    <w:rsid w:val="00ED2EFD"/>
    <w:rsid w:val="00ED7E3A"/>
    <w:rsid w:val="00F7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25C"/>
  </w:style>
  <w:style w:type="paragraph" w:styleId="Titolo5">
    <w:name w:val="heading 5"/>
    <w:basedOn w:val="Normale"/>
    <w:link w:val="Titolo5Carattere"/>
    <w:uiPriority w:val="9"/>
    <w:qFormat/>
    <w:rsid w:val="00E54E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E54E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E54E2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54E24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Enfasigrassetto">
    <w:name w:val="Strong"/>
    <w:basedOn w:val="Carpredefinitoparagrafo"/>
    <w:uiPriority w:val="22"/>
    <w:qFormat/>
    <w:rsid w:val="00E54E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4E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4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6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6238"/>
  </w:style>
  <w:style w:type="paragraph" w:styleId="Pidipagina">
    <w:name w:val="footer"/>
    <w:basedOn w:val="Normale"/>
    <w:link w:val="PidipaginaCarattere"/>
    <w:uiPriority w:val="99"/>
    <w:semiHidden/>
    <w:unhideWhenUsed/>
    <w:rsid w:val="001E6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VmgQBx8VxnJTwWq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3K2kXm4vjhyDsE3S97J4qKpiwa68b5r?usp=shari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s://forms.gle/tVmgQBx8VxnJTwWq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renatasantoro</dc:creator>
  <cp:lastModifiedBy>renata.santoro</cp:lastModifiedBy>
  <cp:revision>9</cp:revision>
  <cp:lastPrinted>2021-10-27T07:25:00Z</cp:lastPrinted>
  <dcterms:created xsi:type="dcterms:W3CDTF">2022-10-15T12:18:00Z</dcterms:created>
  <dcterms:modified xsi:type="dcterms:W3CDTF">2022-10-19T06:54:00Z</dcterms:modified>
</cp:coreProperties>
</file>